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br/>
        <w:t xml:space="preserve"> </w:t>
        <w:br/>
        <w:t xml:space="preserve"> </w:t>
        <w:br/>
        <w:t xml:space="preserve"> </w:t>
        <w:br/>
        <w:t xml:space="preserve"> </w:t>
        <w:br/>
        <w:t xml:space="preserve"> </w:t>
        <w:br/>
        <w:t xml:space="preserve"> </w:t>
      </w:r>
    </w:p>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br/>
        <w:br/>
        <w:br/>
        <w:br/>
        <w:br/>
      </w:r>
      <w:r>
        <w:rPr>
          <w:rFonts w:ascii="Calibri" w:hAnsi="Calibri" w:cs="Calibri" w:eastAsia="Calibri"/>
          <w:color w:val="000000"/>
          <w:spacing w:val="0"/>
          <w:position w:val="0"/>
          <w:sz w:val="28"/>
          <w:shd w:fill="auto" w:val="clear"/>
        </w:rPr>
        <w:t xml:space="preserve">REPORTE TÉCNICO</w:t>
      </w:r>
      <w:r>
        <w:rPr>
          <w:rFonts w:ascii="Calibri" w:hAnsi="Calibri" w:cs="Calibri" w:eastAsia="Calibri"/>
          <w:color w:val="auto"/>
          <w:spacing w:val="0"/>
          <w:position w:val="0"/>
          <w:sz w:val="22"/>
          <w:shd w:fill="auto" w:val="clear"/>
        </w:rPr>
        <w:br/>
      </w:r>
      <w:r>
        <w:rPr>
          <w:rFonts w:ascii="Calibri" w:hAnsi="Calibri" w:cs="Calibri" w:eastAsia="Calibri"/>
          <w:color w:val="000000"/>
          <w:spacing w:val="0"/>
          <w:position w:val="0"/>
          <w:sz w:val="22"/>
          <w:shd w:fill="auto" w:val="clear"/>
        </w:rPr>
        <w:br/>
        <w:t xml:space="preserve">DIRECCIÓN GENERAL DEL TERRITORIO MARÍTIMO Y MARINA MERCANTE</w:t>
      </w:r>
      <w:r>
        <w:rPr>
          <w:rFonts w:ascii="Calibri" w:hAnsi="Calibri" w:cs="Calibri" w:eastAsia="Calibri"/>
          <w:color w:val="auto"/>
          <w:spacing w:val="0"/>
          <w:position w:val="0"/>
          <w:sz w:val="22"/>
          <w:shd w:fill="auto" w:val="clear"/>
        </w:rPr>
        <w:br/>
      </w:r>
      <w:r>
        <w:rPr>
          <w:rFonts w:ascii="Calibri" w:hAnsi="Calibri" w:cs="Calibri" w:eastAsia="Calibri"/>
          <w:color w:val="000000"/>
          <w:spacing w:val="0"/>
          <w:position w:val="0"/>
          <w:sz w:val="22"/>
          <w:shd w:fill="auto" w:val="clear"/>
        </w:rPr>
        <w:br/>
        <w:t xml:space="preserve">EXAMEN DE INFORMACIÓN</w:t>
        <w:br/>
        <w:t xml:space="preserve">EMISARIO SUBMARINO PESQUERA SAN JOSÉ LA PAMPILLA</w:t>
        <w:br/>
        <w:t xml:space="preserve">IV Región de Coquimbo</w:t>
        <w:br/>
        <w:t xml:space="preserve">04/7/2019</w:t>
      </w:r>
    </w:p>
    <w:p>
      <w:pPr>
        <w:spacing w:before="0" w:after="0" w:line="240"/>
        <w:ind w:right="0" w:left="0" w:firstLine="0"/>
        <w:jc w:val="left"/>
        <w:rPr>
          <w:rFonts w:ascii="Calibri" w:hAnsi="Calibri" w:cs="Calibri" w:eastAsia="Calibri"/>
          <w:color w:val="auto"/>
          <w:spacing w:val="0"/>
          <w:position w:val="0"/>
          <w:sz w:val="22"/>
          <w:shd w:fill="auto" w:val="clear"/>
        </w:rPr>
      </w:pPr>
    </w:p>
    <w:tbl>
      <w:tblPr>
        <w:tblInd w:w="108" w:type="dxa"/>
      </w:tblPr>
      <w:tblGrid>
        <w:gridCol w:w="3991"/>
        <w:gridCol w:w="3991"/>
      </w:tblGrid>
      <w:tr>
        <w:trPr>
          <w:trHeight w:val="1" w:hRule="atLeast"/>
          <w:jc w:val="left"/>
        </w:trPr>
        <w:tc>
          <w:tcPr>
            <w:tcW w:w="3991"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991"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b/>
                <w:color w:val="000000"/>
                <w:spacing w:val="0"/>
                <w:position w:val="0"/>
                <w:sz w:val="24"/>
                <w:shd w:fill="auto" w:val="clear"/>
              </w:rPr>
              <w:t xml:space="preserve">Nombres</w:t>
            </w:r>
          </w:p>
        </w:tc>
      </w:tr>
      <w:tr>
        <w:trPr>
          <w:trHeight w:val="1" w:hRule="atLeast"/>
          <w:jc w:val="left"/>
        </w:trPr>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0000"/>
                <w:spacing w:val="0"/>
                <w:position w:val="0"/>
                <w:sz w:val="24"/>
                <w:shd w:fill="auto" w:val="clear"/>
              </w:rPr>
              <w:t xml:space="preserve">Encargado</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0000"/>
                <w:spacing w:val="0"/>
                <w:position w:val="0"/>
                <w:sz w:val="24"/>
                <w:shd w:fill="auto" w:val="clear"/>
              </w:rPr>
              <w:t xml:space="preserve">Claudia González</w:t>
            </w:r>
          </w:p>
        </w:tc>
      </w:tr>
      <w:tr>
        <w:trPr>
          <w:trHeight w:val="1" w:hRule="atLeast"/>
          <w:jc w:val="left"/>
        </w:trPr>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0000"/>
                <w:spacing w:val="0"/>
                <w:position w:val="0"/>
                <w:sz w:val="24"/>
                <w:shd w:fill="auto" w:val="clear"/>
              </w:rPr>
              <w:t xml:space="preserve">Participantes</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0000"/>
                <w:spacing w:val="0"/>
                <w:position w:val="0"/>
                <w:sz w:val="24"/>
                <w:shd w:fill="auto" w:val="clear"/>
              </w:rPr>
              <w:t xml:space="preserve">Claudia Galli</w:t>
            </w:r>
            <w:r>
              <w:rPr>
                <w:rFonts w:ascii="Calibri" w:hAnsi="Calibri" w:cs="Calibri" w:eastAsia="Calibri"/>
                <w:color w:val="auto"/>
                <w:spacing w:val="0"/>
                <w:position w:val="0"/>
                <w:sz w:val="22"/>
                <w:shd w:fill="auto" w:val="clear"/>
              </w:rPr>
              <w:br/>
              <w:br/>
              <w:br/>
            </w:r>
          </w:p>
        </w:tc>
      </w:tr>
    </w:tbl>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t xml:space="preserve">1. RESUMEN</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000000"/>
          <w:spacing w:val="0"/>
          <w:position w:val="0"/>
          <w:sz w:val="22"/>
          <w:shd w:fill="auto" w:val="clear"/>
        </w:rPr>
        <w:br/>
        <w:t xml:space="preserve">El presente documento corresponde al pronunciamiento de la Gobernación Marítima de Coquimbo, respecto del examen de información sobre las actividades de seguimiento ambiental del proyecto "Emisario Submarino Pesquera San José, La Pampilla" de la empresa Orizon S.A. aprobado ambientalmente mediante Resol. (E) N° 138/2006. En lo especifico, se revisó y evaluó los PVAs del medio marino de los años 2014, 2015 y 2016 y los monitoreos de autocontrol del efluente de acuerdo a los establecido en la Norma de Emisión D.S. N° 90/00, tabla 5.</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br/>
        <w:t xml:space="preserve">2. INSTRUMENTOS DE GESTIÓN AMBIENTAL FISCALIZADOS</w:t>
      </w:r>
      <w:r>
        <w:rPr>
          <w:rFonts w:ascii="Calibri" w:hAnsi="Calibri" w:cs="Calibri" w:eastAsia="Calibri"/>
          <w:color w:val="auto"/>
          <w:spacing w:val="0"/>
          <w:position w:val="0"/>
          <w:sz w:val="22"/>
          <w:shd w:fill="auto" w:val="clear"/>
        </w:rPr>
        <w:br/>
        <w:t xml:space="preserve"> </w:t>
      </w:r>
    </w:p>
    <w:tbl>
      <w:tblPr>
        <w:tblInd w:w="108" w:type="dxa"/>
      </w:tblPr>
      <w:tblGrid>
        <w:gridCol w:w="1226"/>
        <w:gridCol w:w="1217"/>
        <w:gridCol w:w="879"/>
        <w:gridCol w:w="633"/>
        <w:gridCol w:w="2388"/>
        <w:gridCol w:w="2377"/>
      </w:tblGrid>
      <w:tr>
        <w:trPr>
          <w:trHeight w:val="1" w:hRule="atLeast"/>
          <w:jc w:val="left"/>
        </w:trPr>
        <w:tc>
          <w:tcPr>
            <w:tcW w:w="1226"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 (Correlativo)</w:t>
            </w:r>
          </w:p>
        </w:tc>
        <w:tc>
          <w:tcPr>
            <w:tcW w:w="1217"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Tipo Instrumento</w:t>
            </w:r>
          </w:p>
        </w:tc>
        <w:tc>
          <w:tcPr>
            <w:tcW w:w="879"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Número</w:t>
            </w:r>
          </w:p>
        </w:tc>
        <w:tc>
          <w:tcPr>
            <w:tcW w:w="633"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Año</w:t>
            </w:r>
          </w:p>
        </w:tc>
        <w:tc>
          <w:tcPr>
            <w:tcW w:w="2388"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Nombre Instrumento</w:t>
            </w:r>
          </w:p>
        </w:tc>
        <w:tc>
          <w:tcPr>
            <w:tcW w:w="2377"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Comentarios</w:t>
            </w:r>
          </w:p>
        </w:tc>
      </w:tr>
      <w:tr>
        <w:trPr>
          <w:trHeight w:val="1" w:hRule="atLeast"/>
          <w:jc w:val="left"/>
        </w:trPr>
        <w:tc>
          <w:tcPr>
            <w:tcW w:w="1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1</w:t>
            </w:r>
          </w:p>
        </w:tc>
        <w:tc>
          <w:tcPr>
            <w:tcW w:w="121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RCA</w:t>
            </w:r>
          </w:p>
        </w:tc>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138</w:t>
            </w:r>
          </w:p>
        </w:tc>
        <w:tc>
          <w:tcPr>
            <w:tcW w:w="6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2006</w:t>
            </w:r>
          </w:p>
        </w:tc>
        <w:tc>
          <w:tcPr>
            <w:tcW w:w="23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z w:val="22"/>
                <w:shd w:fill="auto" w:val="clear"/>
              </w:rPr>
            </w:pPr>
            <w:r>
              <w:rPr>
                <w:rFonts w:ascii="Calibri" w:hAnsi="Calibri" w:cs="Calibri" w:eastAsia="Calibri"/>
                <w:color w:val="000000"/>
                <w:spacing w:val="0"/>
                <w:position w:val="0"/>
                <w:sz w:val="22"/>
                <w:shd w:fill="auto" w:val="clear"/>
              </w:rPr>
              <w:t xml:space="preserve">Emisario Submarino Pesquera San José La Pampilla</w:t>
            </w:r>
          </w:p>
        </w:tc>
        <w:tc>
          <w:tcPr>
            <w:tcW w:w="237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732"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 hay</w:t>
            </w:r>
          </w:p>
        </w:tc>
      </w:tr>
    </w:tbl>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br/>
        <w:t xml:space="preserve">3. ANTECEDENTES DE LA ACTIVIDAD DE FISCALIZACIÓN</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000000"/>
          <w:spacing w:val="0"/>
          <w:position w:val="0"/>
          <w:sz w:val="24"/>
          <w:shd w:fill="auto" w:val="clear"/>
        </w:rPr>
        <w:br/>
        <w:t xml:space="preserve">3.1 Motivo de la Actividad de Fiscalización: </w:t>
      </w:r>
    </w:p>
    <w:p>
      <w:pPr>
        <w:spacing w:before="0" w:after="0" w:line="240"/>
        <w:ind w:right="0" w:left="0" w:firstLine="0"/>
        <w:jc w:val="left"/>
        <w:rPr>
          <w:rFonts w:ascii="Calibri" w:hAnsi="Calibri" w:cs="Calibri" w:eastAsia="Calibri"/>
          <w:color w:val="auto"/>
          <w:spacing w:val="0"/>
          <w:position w:val="0"/>
          <w:sz w:val="22"/>
          <w:shd w:fill="auto" w:val="clear"/>
        </w:rPr>
      </w:pPr>
    </w:p>
    <w:tbl>
      <w:tblPr>
        <w:tblInd w:w="108" w:type="dxa"/>
      </w:tblPr>
      <w:tblGrid>
        <w:gridCol w:w="1200"/>
        <w:gridCol w:w="614"/>
        <w:gridCol w:w="1200"/>
        <w:gridCol w:w="603"/>
        <w:gridCol w:w="5103"/>
      </w:tblGrid>
      <w:tr>
        <w:trPr>
          <w:trHeight w:val="1" w:hRule="atLeast"/>
          <w:jc w:val="left"/>
        </w:trPr>
        <w:tc>
          <w:tcPr>
            <w:tcW w:w="12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Actividad Programada</w:t>
            </w:r>
          </w:p>
        </w:tc>
        <w:tc>
          <w:tcPr>
            <w:tcW w:w="6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X</w:t>
            </w:r>
          </w:p>
        </w:tc>
        <w:tc>
          <w:tcPr>
            <w:tcW w:w="12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Actividad No Programada</w:t>
            </w:r>
          </w:p>
        </w:tc>
        <w:tc>
          <w:tcPr>
            <w:tcW w:w="6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51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Observación: </w:t>
            </w:r>
            <w:r>
              <w:rPr>
                <w:rFonts w:ascii="Calibri Light" w:hAnsi="Calibri Light" w:cs="Calibri Light" w:eastAsia="Calibri Light"/>
                <w:color w:val="auto"/>
                <w:spacing w:val="0"/>
                <w:position w:val="0"/>
                <w:sz w:val="20"/>
                <w:shd w:fill="auto" w:val="clear"/>
              </w:rPr>
              <w:t xml:space="preserve">Actividad encomendada por la Superintendencia de Medio Ambiente</w:t>
            </w:r>
            <w:r>
              <w:rPr>
                <w:rFonts w:ascii="Calibri" w:hAnsi="Calibri" w:cs="Calibri" w:eastAsia="Calibri"/>
                <w:color w:val="auto"/>
                <w:spacing w:val="0"/>
                <w:position w:val="0"/>
                <w:sz w:val="22"/>
                <w:shd w:fill="auto" w:val="clear"/>
              </w:rPr>
              <w:t xml:space="preserve"> </w:t>
            </w:r>
            <w:r>
              <w:rPr>
                <w:rFonts w:ascii="Calibri Light" w:hAnsi="Calibri Light" w:cs="Calibri Light" w:eastAsia="Calibri Light"/>
                <w:color w:val="auto"/>
                <w:spacing w:val="0"/>
                <w:position w:val="0"/>
                <w:sz w:val="20"/>
                <w:shd w:fill="auto" w:val="clear"/>
              </w:rPr>
              <w:t xml:space="preserve">Según Resolución SMA N°1637/2018 que fija Programa y Subprogramas Sectoriales de Fiscalización Ambiental de Resoluciones de Calificación Ambiental para el año 2019”</w:t>
            </w:r>
            <w:r>
              <w:rPr>
                <w:rFonts w:ascii="Calibri Light" w:hAnsi="Calibri Light" w:cs="Calibri Light" w:eastAsia="Calibri Light"/>
                <w:b/>
                <w:color w:val="auto"/>
                <w:spacing w:val="0"/>
                <w:position w:val="0"/>
                <w:sz w:val="20"/>
                <w:shd w:fill="auto" w:val="clear"/>
              </w:rPr>
              <w:t xml:space="preserve">.</w:t>
            </w:r>
          </w:p>
        </w:tc>
      </w:tr>
    </w:tbl>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br/>
        <w:t xml:space="preserve">3.2 MATERIA ESPECIFICA OBJETO DE FISCALIZACIÓN</w:t>
      </w:r>
      <w:r>
        <w:rPr>
          <w:rFonts w:ascii="Calibri" w:hAnsi="Calibri" w:cs="Calibri" w:eastAsia="Calibri"/>
          <w:color w:val="auto"/>
          <w:spacing w:val="0"/>
          <w:position w:val="0"/>
          <w:sz w:val="22"/>
          <w:shd w:fill="auto" w:val="clear"/>
        </w:rPr>
        <w:br/>
        <w:t xml:space="preserve"> </w:t>
      </w:r>
    </w:p>
    <w:tbl>
      <w:tblPr>
        <w:tblInd w:w="108" w:type="dxa"/>
      </w:tblPr>
      <w:tblGrid>
        <w:gridCol w:w="1226"/>
        <w:gridCol w:w="1848"/>
        <w:gridCol w:w="5646"/>
      </w:tblGrid>
      <w:tr>
        <w:trPr>
          <w:trHeight w:val="1" w:hRule="atLeast"/>
          <w:jc w:val="left"/>
        </w:trPr>
        <w:tc>
          <w:tcPr>
            <w:tcW w:w="1226"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 (Correlativo)</w:t>
            </w:r>
          </w:p>
        </w:tc>
        <w:tc>
          <w:tcPr>
            <w:tcW w:w="1848"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Tipología</w:t>
            </w:r>
          </w:p>
        </w:tc>
        <w:tc>
          <w:tcPr>
            <w:tcW w:w="5646"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Aspecto Ambiental Relevante</w:t>
            </w:r>
          </w:p>
        </w:tc>
      </w:tr>
      <w:tr>
        <w:trPr>
          <w:trHeight w:val="1" w:hRule="atLeast"/>
          <w:jc w:val="left"/>
        </w:trPr>
        <w:tc>
          <w:tcPr>
            <w:tcW w:w="1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1</w:t>
            </w:r>
          </w:p>
        </w:tc>
        <w:tc>
          <w:tcPr>
            <w:tcW w:w="18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Actividad Pesquera</w:t>
            </w:r>
          </w:p>
        </w:tc>
        <w:tc>
          <w:tcPr>
            <w:tcW w:w="56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color w:val="auto"/>
                <w:spacing w:val="0"/>
                <w:position w:val="0"/>
                <w:sz w:val="20"/>
                <w:shd w:fill="auto" w:val="clear"/>
              </w:rPr>
              <w:t xml:space="preserve">Verificación de calidad del efluente, columna de agua y sedimentos.</w:t>
            </w:r>
          </w:p>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Estado comunidades bentónicas submareales e intermareales.</w:t>
            </w:r>
          </w:p>
        </w:tc>
      </w:tr>
    </w:tbl>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br/>
        <w:t xml:space="preserve">4. DOCUMENTACIÓN ANALIZADA</w:t>
      </w:r>
      <w:r>
        <w:rPr>
          <w:rFonts w:ascii="Calibri" w:hAnsi="Calibri" w:cs="Calibri" w:eastAsia="Calibri"/>
          <w:color w:val="auto"/>
          <w:spacing w:val="0"/>
          <w:position w:val="0"/>
          <w:sz w:val="22"/>
          <w:shd w:fill="auto" w:val="clear"/>
        </w:rPr>
        <w:br/>
      </w:r>
    </w:p>
    <w:tbl>
      <w:tblPr>
        <w:tblInd w:w="108" w:type="dxa"/>
      </w:tblPr>
      <w:tblGrid>
        <w:gridCol w:w="1226"/>
        <w:gridCol w:w="860"/>
        <w:gridCol w:w="2967"/>
        <w:gridCol w:w="3667"/>
      </w:tblGrid>
      <w:tr>
        <w:trPr>
          <w:trHeight w:val="1" w:hRule="atLeast"/>
          <w:jc w:val="left"/>
        </w:trPr>
        <w:tc>
          <w:tcPr>
            <w:tcW w:w="1226"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 (Correlativo)</w:t>
            </w:r>
          </w:p>
        </w:tc>
        <w:tc>
          <w:tcPr>
            <w:tcW w:w="860"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Id Informe</w:t>
            </w:r>
          </w:p>
        </w:tc>
        <w:tc>
          <w:tcPr>
            <w:tcW w:w="2967"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Nombre Informe</w:t>
            </w:r>
          </w:p>
        </w:tc>
        <w:tc>
          <w:tcPr>
            <w:tcW w:w="3667"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Aspecto Ambiental Relevante</w:t>
            </w:r>
          </w:p>
        </w:tc>
      </w:tr>
      <w:tr>
        <w:trPr>
          <w:trHeight w:val="1" w:hRule="atLeast"/>
          <w:jc w:val="left"/>
        </w:trPr>
        <w:tc>
          <w:tcPr>
            <w:tcW w:w="1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1</w:t>
            </w:r>
          </w:p>
        </w:tc>
        <w:tc>
          <w:tcPr>
            <w:tcW w:w="8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38480</w:t>
            </w:r>
          </w:p>
        </w:tc>
        <w:tc>
          <w:tcPr>
            <w:tcW w:w="29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Programa de Vigilancia Ambiental Verano 2014 </w:t>
            </w:r>
          </w:p>
        </w:tc>
        <w:tc>
          <w:tcPr>
            <w:tcW w:w="3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color w:val="auto"/>
                <w:spacing w:val="0"/>
                <w:position w:val="0"/>
                <w:sz w:val="20"/>
                <w:shd w:fill="auto" w:val="clear"/>
              </w:rPr>
              <w:t xml:space="preserve">Verificación de calidad del efluente, columna de agua y sedimentos.</w:t>
            </w:r>
          </w:p>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Estado comunidades bentónicas submareales e intermareales.</w:t>
            </w:r>
          </w:p>
        </w:tc>
      </w:tr>
      <w:tr>
        <w:trPr>
          <w:trHeight w:val="1" w:hRule="atLeast"/>
          <w:jc w:val="left"/>
        </w:trPr>
        <w:tc>
          <w:tcPr>
            <w:tcW w:w="1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2</w:t>
            </w:r>
          </w:p>
        </w:tc>
        <w:tc>
          <w:tcPr>
            <w:tcW w:w="8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38482</w:t>
            </w:r>
          </w:p>
        </w:tc>
        <w:tc>
          <w:tcPr>
            <w:tcW w:w="29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Programa de Vigilancia Ambiental invierno 2014</w:t>
            </w:r>
          </w:p>
        </w:tc>
        <w:tc>
          <w:tcPr>
            <w:tcW w:w="3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color w:val="auto"/>
                <w:spacing w:val="0"/>
                <w:position w:val="0"/>
                <w:sz w:val="20"/>
                <w:shd w:fill="auto" w:val="clear"/>
              </w:rPr>
              <w:t xml:space="preserve">Verificación de calidad del efluente, columna de agua y sedimentos.</w:t>
            </w:r>
          </w:p>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Estado comunidades bentónicas submareales e intermareales.</w:t>
            </w:r>
          </w:p>
        </w:tc>
      </w:tr>
      <w:tr>
        <w:trPr>
          <w:trHeight w:val="1" w:hRule="atLeast"/>
          <w:jc w:val="left"/>
        </w:trPr>
        <w:tc>
          <w:tcPr>
            <w:tcW w:w="1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3</w:t>
            </w:r>
          </w:p>
        </w:tc>
        <w:tc>
          <w:tcPr>
            <w:tcW w:w="8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39877</w:t>
            </w:r>
          </w:p>
        </w:tc>
        <w:tc>
          <w:tcPr>
            <w:tcW w:w="29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Programa de Vigilancia Ambiental 2015 (resumen)</w:t>
            </w:r>
          </w:p>
        </w:tc>
        <w:tc>
          <w:tcPr>
            <w:tcW w:w="3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color w:val="auto"/>
                <w:spacing w:val="0"/>
                <w:position w:val="0"/>
                <w:sz w:val="20"/>
                <w:shd w:fill="auto" w:val="clear"/>
              </w:rPr>
              <w:t xml:space="preserve">Verificación de calidad del efluente, columna de agua y sedimentos.</w:t>
            </w:r>
          </w:p>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Estado comunidades bentónicas submareales e intermareales.</w:t>
            </w:r>
          </w:p>
        </w:tc>
      </w:tr>
      <w:tr>
        <w:trPr>
          <w:trHeight w:val="1" w:hRule="atLeast"/>
          <w:jc w:val="left"/>
        </w:trPr>
        <w:tc>
          <w:tcPr>
            <w:tcW w:w="122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4</w:t>
            </w:r>
          </w:p>
        </w:tc>
        <w:tc>
          <w:tcPr>
            <w:tcW w:w="86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49398</w:t>
            </w:r>
          </w:p>
        </w:tc>
        <w:tc>
          <w:tcPr>
            <w:tcW w:w="29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Programa de Vigilancia ambiental Invierno 2016</w:t>
            </w:r>
          </w:p>
        </w:tc>
        <w:tc>
          <w:tcPr>
            <w:tcW w:w="3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color w:val="auto"/>
                <w:spacing w:val="0"/>
                <w:position w:val="0"/>
                <w:sz w:val="20"/>
                <w:shd w:fill="auto" w:val="clear"/>
              </w:rPr>
              <w:t xml:space="preserve">Verificación de calidad del efluente, columna de agua y sedimentos.</w:t>
            </w:r>
          </w:p>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Estado comunidades bentónicas submareales e intermareales.</w:t>
            </w:r>
          </w:p>
        </w:tc>
      </w:tr>
    </w:tbl>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t xml:space="preserve">5. HECHOS</w:t>
      </w:r>
      <w:r>
        <w:rPr>
          <w:rFonts w:ascii="Calibri" w:hAnsi="Calibri" w:cs="Calibri" w:eastAsia="Calibri"/>
          <w:color w:val="auto"/>
          <w:spacing w:val="0"/>
          <w:position w:val="0"/>
          <w:sz w:val="22"/>
          <w:shd w:fill="auto" w:val="clear"/>
        </w:rPr>
        <w:br/>
        <w:t xml:space="preserve"> </w:t>
      </w:r>
    </w:p>
    <w:tbl>
      <w:tblPr>
        <w:tblInd w:w="108" w:type="dxa"/>
      </w:tblPr>
      <w:tblGrid>
        <w:gridCol w:w="8946"/>
      </w:tblGrid>
      <w:tr>
        <w:trPr>
          <w:trHeight w:val="1" w:hRule="atLeast"/>
          <w:jc w:val="left"/>
        </w:trPr>
        <w:tc>
          <w:tcPr>
            <w:tcW w:w="8946"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Número de hecho constatado: 1</w:t>
            </w:r>
          </w:p>
        </w:tc>
      </w:tr>
      <w:tr>
        <w:trPr>
          <w:trHeight w:val="1" w:hRule="atLeast"/>
          <w:jc w:val="left"/>
        </w:trPr>
        <w:tc>
          <w:tcPr>
            <w:tcW w:w="89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4118" w:leader="none"/>
                <w:tab w:val="left" w:pos="7384" w:leader="none"/>
              </w:tabs>
              <w:spacing w:before="0" w:after="0" w:line="240"/>
              <w:ind w:right="0" w:left="0" w:firstLine="0"/>
              <w:jc w:val="left"/>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b/>
                <w:color w:val="auto"/>
                <w:spacing w:val="0"/>
                <w:position w:val="0"/>
                <w:sz w:val="20"/>
                <w:shd w:fill="auto" w:val="clear"/>
              </w:rPr>
              <w:t xml:space="preserve">Exigencia(s): </w:t>
            </w:r>
            <w:r>
              <w:rPr>
                <w:rFonts w:ascii="Calibri Light" w:hAnsi="Calibri Light" w:cs="Calibri Light" w:eastAsia="Calibri Light"/>
                <w:color w:val="auto"/>
                <w:spacing w:val="0"/>
                <w:position w:val="0"/>
                <w:sz w:val="20"/>
                <w:shd w:fill="auto" w:val="clear"/>
              </w:rPr>
              <w:t xml:space="preserve">Considerando 6.1 b) Programa de Vigilancia Ambiental, parámetros físico-químicos del RIL, estado de la columna de agua, de sedimentos y comunidades bentónicas submareales e intermareales y  Programa de Autocontrol, cumplimiento de la tabla 5 de la Norma de Emisión D.S. Nº 90/2000.</w:t>
            </w:r>
          </w:p>
          <w:p>
            <w:pPr>
              <w:tabs>
                <w:tab w:val="left" w:pos="4118" w:leader="none"/>
                <w:tab w:val="left" w:pos="7384" w:leader="none"/>
              </w:tabs>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                        </w:t>
            </w:r>
          </w:p>
        </w:tc>
      </w:tr>
      <w:tr>
        <w:trPr>
          <w:trHeight w:val="1" w:hRule="atLeast"/>
          <w:jc w:val="left"/>
        </w:trPr>
        <w:tc>
          <w:tcPr>
            <w:tcW w:w="89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Calibri Light" w:hAnsi="Calibri Light" w:cs="Calibri Light" w:eastAsia="Calibri Light"/>
                <w:b/>
                <w:color w:val="auto"/>
                <w:spacing w:val="0"/>
                <w:position w:val="0"/>
                <w:sz w:val="20"/>
                <w:shd w:fill="auto" w:val="clear"/>
              </w:rPr>
              <w:t xml:space="preserve">Documentación Analizada: </w:t>
            </w:r>
            <w:r>
              <w:rPr>
                <w:rFonts w:ascii="Calibri" w:hAnsi="Calibri" w:cs="Calibri" w:eastAsia="Calibri"/>
                <w:color w:val="000000"/>
                <w:spacing w:val="0"/>
                <w:position w:val="0"/>
                <w:sz w:val="20"/>
                <w:shd w:fill="auto" w:val="clear"/>
              </w:rPr>
              <w:br/>
              <w:t xml:space="preserve">Programa de Vigilancia Ambiental Verano 2014</w:t>
              <w:br/>
              <w:t xml:space="preserve">Programa de Vigilancia Ambiental Invierno 2014</w:t>
              <w:br/>
              <w:t xml:space="preserve">Programa de Vigilancia Ambiental Resumen años anteriores</w:t>
              <w:br/>
              <w:t xml:space="preserve">Programa de Vigilancia ambiental Invierno 2016</w:t>
              <w:br/>
            </w:r>
          </w:p>
        </w:tc>
      </w:tr>
      <w:tr>
        <w:trPr>
          <w:trHeight w:val="1" w:hRule="atLeast"/>
          <w:jc w:val="left"/>
        </w:trPr>
        <w:tc>
          <w:tcPr>
            <w:tcW w:w="89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9230" w:leader="none"/>
              </w:tabs>
              <w:spacing w:before="0" w:after="0" w:line="240"/>
              <w:ind w:right="-590" w:left="0" w:firstLine="0"/>
              <w:jc w:val="both"/>
              <w:rPr>
                <w:rFonts w:ascii="Calibri Light" w:hAnsi="Calibri Light" w:cs="Calibri Light" w:eastAsia="Calibri Light"/>
                <w:color w:val="auto"/>
                <w:spacing w:val="0"/>
                <w:position w:val="0"/>
                <w:sz w:val="20"/>
                <w:shd w:fill="auto" w:val="clear"/>
              </w:rPr>
            </w:pPr>
            <w:r>
              <w:rPr>
                <w:rFonts w:ascii="Calibri Light" w:hAnsi="Calibri Light" w:cs="Calibri Light" w:eastAsia="Calibri Light"/>
                <w:b/>
                <w:color w:val="auto"/>
                <w:spacing w:val="0"/>
                <w:position w:val="0"/>
                <w:sz w:val="20"/>
                <w:shd w:fill="auto" w:val="clear"/>
              </w:rPr>
              <w:t xml:space="preserve">Redacción de Hechos Constatados: </w:t>
            </w:r>
          </w:p>
          <w:p>
            <w:pPr>
              <w:tabs>
                <w:tab w:val="left" w:pos="9230" w:leader="none"/>
              </w:tabs>
              <w:spacing w:before="0" w:after="0" w:line="240"/>
              <w:ind w:right="0" w:left="0" w:firstLine="0"/>
              <w:jc w:val="both"/>
              <w:rPr>
                <w:rFonts w:ascii="Calibri" w:hAnsi="Calibri" w:cs="Calibri" w:eastAsia="Calibri"/>
                <w:color w:val="000000"/>
                <w:spacing w:val="0"/>
                <w:position w:val="0"/>
                <w:sz w:val="20"/>
                <w:shd w:fill="auto" w:val="clear"/>
              </w:rPr>
            </w:pPr>
            <w:r>
              <w:rPr>
                <w:rFonts w:ascii="Calibri Light" w:hAnsi="Calibri Light" w:cs="Calibri Light" w:eastAsia="Calibri Light"/>
                <w:color w:val="auto"/>
                <w:spacing w:val="0"/>
                <w:position w:val="0"/>
                <w:sz w:val="20"/>
                <w:shd w:fill="auto" w:val="clear"/>
              </w:rPr>
              <w:t xml:space="preserve">Se identifican 3 estaciones (norte, centro y sur) en cercanías de la descarga (efluente) en las que se realizan mediciones de Tº, salinidad, pH, oxígeno disuelto y densidad. Los resultados indican que los parámetros se encuentran bajo el límite de detección analítico y se encuentran catalogados por el titular como agua de buena calidad, de acuerdo a la </w:t>
            </w:r>
            <w:r>
              <w:rPr>
                <w:rFonts w:ascii="Calibri" w:hAnsi="Calibri" w:cs="Calibri" w:eastAsia="Calibri"/>
                <w:color w:val="000000"/>
                <w:spacing w:val="0"/>
                <w:position w:val="0"/>
                <w:sz w:val="20"/>
                <w:shd w:fill="auto" w:val="clear"/>
              </w:rPr>
              <w:t xml:space="preserve">Guía para el establecimiento de las Normas Secundarias de Calidad Ambiental para Aguas Continentales Superficiales y Marinas” de la CONAMA, 2004.</w:t>
            </w:r>
          </w:p>
          <w:p>
            <w:pPr>
              <w:tabs>
                <w:tab w:val="left" w:pos="9230" w:leader="none"/>
              </w:tabs>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De acuerdo al análisis de los monitoreos de autocontrol, los parámetros medidos en el efluente no sobrepasan los límites en la tabla 5 (fuera de la zona de protección litoral) de la norma de emisión D.S. Nº90/2000. </w:t>
            </w:r>
          </w:p>
          <w:p>
            <w:pPr>
              <w:tabs>
                <w:tab w:val="left" w:pos="9230" w:leader="none"/>
              </w:tabs>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El análisis de sedimentos indica que son en su mayoría arenas muy gruesas con un bajo contenido de materia orgánica.</w:t>
            </w:r>
          </w:p>
          <w:p>
            <w:pPr>
              <w:tabs>
                <w:tab w:val="left" w:pos="9230" w:leader="none"/>
              </w:tabs>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Las comunidades bentónicas submareales e intermareales,  de acuerdo a los índices, comunitarios tienden a una baja diversidad y riqueza taxonómica, la que se atribuye en el PVA Invierno 2016 al maremoto 2010. Lo anterior, debe ser revisado dado que la zona en que se ubican las instalaciones de la Pesquera, fue afectada por un Tsunami, pero en septiembre de 2015.</w:t>
            </w:r>
          </w:p>
          <w:p>
            <w:pPr>
              <w:tabs>
                <w:tab w:val="left" w:pos="9230" w:leader="none"/>
              </w:tabs>
              <w:spacing w:before="0" w:after="0" w:line="240"/>
              <w:ind w:right="-590" w:left="0" w:firstLine="0"/>
              <w:jc w:val="left"/>
              <w:rPr>
                <w:rFonts w:ascii="Calibri" w:hAnsi="Calibri" w:cs="Calibri" w:eastAsia="Calibri"/>
                <w:color w:val="000000"/>
                <w:spacing w:val="0"/>
                <w:position w:val="0"/>
                <w:sz w:val="20"/>
                <w:shd w:fill="auto" w:val="clear"/>
              </w:rPr>
            </w:pPr>
          </w:p>
          <w:p>
            <w:pPr>
              <w:tabs>
                <w:tab w:val="left" w:pos="9230" w:leader="none"/>
              </w:tabs>
              <w:spacing w:before="0" w:after="0" w:line="240"/>
              <w:ind w:right="-590" w:left="0" w:firstLine="0"/>
              <w:jc w:val="left"/>
              <w:rPr>
                <w:spacing w:val="0"/>
                <w:position w:val="0"/>
                <w:shd w:fill="auto" w:val="clear"/>
              </w:rPr>
            </w:pPr>
          </w:p>
        </w:tc>
      </w:tr>
      <w:tr>
        <w:trPr>
          <w:trHeight w:val="1" w:hRule="atLeast"/>
          <w:jc w:val="left"/>
        </w:trPr>
        <w:tc>
          <w:tcPr>
            <w:tcW w:w="89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br/>
      </w:r>
      <w:r>
        <w:rPr>
          <w:rFonts w:ascii="Calibri" w:hAnsi="Calibri" w:cs="Calibri" w:eastAsia="Calibri"/>
          <w:color w:val="000000"/>
          <w:spacing w:val="0"/>
          <w:position w:val="0"/>
          <w:sz w:val="22"/>
          <w:shd w:fill="auto" w:val="clear"/>
        </w:rPr>
        <w:t xml:space="preserve">Análisis Complementarios </w:t>
      </w:r>
      <w:r>
        <w:rPr>
          <w:rFonts w:ascii="Calibri" w:hAnsi="Calibri" w:cs="Calibri" w:eastAsia="Calibri"/>
          <w:color w:val="auto"/>
          <w:spacing w:val="0"/>
          <w:position w:val="0"/>
          <w:sz w:val="22"/>
          <w:shd w:fill="auto" w:val="clear"/>
        </w:rPr>
        <w:br/>
      </w:r>
    </w:p>
    <w:tbl>
      <w:tblPr>
        <w:tblInd w:w="108" w:type="dxa"/>
      </w:tblPr>
      <w:tblGrid>
        <w:gridCol w:w="879"/>
        <w:gridCol w:w="3991"/>
        <w:gridCol w:w="1283"/>
      </w:tblGrid>
      <w:tr>
        <w:trPr>
          <w:trHeight w:val="1" w:hRule="atLeast"/>
          <w:jc w:val="left"/>
        </w:trPr>
        <w:tc>
          <w:tcPr>
            <w:tcW w:w="879"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Número</w:t>
            </w:r>
          </w:p>
        </w:tc>
        <w:tc>
          <w:tcPr>
            <w:tcW w:w="3991"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Item</w:t>
            </w:r>
          </w:p>
        </w:tc>
        <w:tc>
          <w:tcPr>
            <w:tcW w:w="1283"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Respuesta</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1</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El informe de Seguimiento presenta el contenido señalado en la Exigencia y en la Res. N° 223 según corresponda?</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2</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Mediciones se efectúan con frecuencia solicitada</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3</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Metodologías empleadas corresponden a las exigidas</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4</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Parámetros se encuentran dentro de umbrales definidos</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5</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Reportes son presentados dentro de plazo</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SI/NO</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6</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Se entregan certificados de laboratorio y/o calibración</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Si/NO</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7</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Se presentan todos los antecedentes requeridos</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8</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Se reportan todos los parámetros solicitados</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9</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Variables han evolucionado de acuerdo a lo esperado</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10</w:t>
            </w:r>
          </w:p>
        </w:tc>
        <w:tc>
          <w:tcPr>
            <w:tcW w:w="39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Sitios de muestreo corresponden a los exigidos</w:t>
            </w:r>
          </w:p>
        </w:tc>
        <w:tc>
          <w:tcPr>
            <w:tcW w:w="12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Si</w:t>
            </w:r>
          </w:p>
        </w:tc>
      </w:tr>
    </w:tbl>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b/>
          <w:color w:val="000000"/>
          <w:spacing w:val="0"/>
          <w:position w:val="0"/>
          <w:sz w:val="24"/>
          <w:shd w:fill="auto" w:val="clear"/>
        </w:rPr>
      </w:pPr>
      <w:r>
        <w:rPr>
          <w:rFonts w:ascii="Calibri" w:hAnsi="Calibri" w:cs="Calibri" w:eastAsia="Calibri"/>
          <w:b/>
          <w:color w:val="000000"/>
          <w:spacing w:val="0"/>
          <w:position w:val="0"/>
          <w:sz w:val="24"/>
          <w:shd w:fill="auto" w:val="clear"/>
        </w:rPr>
        <w:t xml:space="preserve">6.- COMENTARIOS FINALES</w:t>
      </w:r>
    </w:p>
    <w:p>
      <w:pPr>
        <w:spacing w:before="0" w:after="0" w:line="240"/>
        <w:ind w:right="0" w:left="0" w:firstLine="0"/>
        <w:jc w:val="left"/>
        <w:rPr>
          <w:rFonts w:ascii="Calibri" w:hAnsi="Calibri" w:cs="Calibri" w:eastAsia="Calibri"/>
          <w:b/>
          <w:color w:val="000000"/>
          <w:spacing w:val="0"/>
          <w:position w:val="0"/>
          <w:sz w:val="24"/>
          <w:shd w:fill="auto" w:val="clear"/>
        </w:rPr>
      </w:pP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El titular menciona la calidad de las aguas relacionándolas con la “Guía para el establecimiento de las Normas Secundarias de Calidad Ambiental para Aguas Continentales Superficiales y Marinas” de la CONAMA, 2004, lo que no es correcto,  ya que ésta sólo es una orientación y carece de validez normativa.</w:t>
        <w:br/>
        <w:br/>
        <w:t xml:space="preserve">De acuerdo a lo anterior y a lo establecido en el artículo 11º del D.S. Nº 40/2013, a falta de una norma de calidad secundaria, se deberá utilizar las normas de referencia extranjeras, que corresponderán a aquellas vigentes en los siguientes Estados: República Federal de Alemania, República Argentina, Australia, República Federativa del Brasil, Canadá, Reino de España, Estados Unidos Mexicanos, Estados Unidos de América, Nueva Zelandia, Reino de los Países Bajos, República Italiana, Japón, Reino de Suecia y Confederación Suiza. Para la utilización de las normas de referencia, se priorizará aquel Estado que posea similitud en sus componentes ambientales, con la situación nacional y/o local, lo que será justificado razonablemente por el proponente. Cuando el proponente señale las normas de referencia extranjeras que utiliza, deberá acompañar un ejemplar íntegro y vigente de dicha norma.</w:t>
      </w: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br/>
        <w:t xml:space="preserve">En Análisis Complementario:</w:t>
      </w: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Por Resol. (E) N° 0092 del 09/06/2015 se aprueba modificar la frecuencia del PVA,  de dos veces al año a una vez cada dos años.</w:t>
      </w: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En PVA 2015, 2016 en relación a materia orgánica, granulometría y comunidades macrobentónicas submareales falta una estación de monitoreo.</w:t>
      </w: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En PVA 2015, 2016 faltan los anexos y certificados de laboratorio.</w:t>
      </w: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Faltan antecedentes de acuerdo a lo establecido en la Resol. N° 2230del 15/10/2015 artículo 24.</w:t>
      </w:r>
    </w:p>
    <w:p>
      <w:pPr>
        <w:spacing w:before="0" w:after="0" w:line="240"/>
        <w:ind w:right="0" w:left="0" w:firstLine="0"/>
        <w:jc w:val="both"/>
        <w:rPr>
          <w:rFonts w:ascii="Calibri" w:hAnsi="Calibri" w:cs="Calibri" w:eastAsia="Calibri"/>
          <w:color w:val="000000"/>
          <w:spacing w:val="0"/>
          <w:position w:val="0"/>
          <w:sz w:val="20"/>
          <w:shd w:fill="auto" w:val="clear"/>
        </w:rPr>
      </w:pPr>
    </w:p>
    <w:p>
      <w:pPr>
        <w:spacing w:before="0" w:after="0" w:line="240"/>
        <w:ind w:right="0" w:left="0" w:firstLine="0"/>
        <w:jc w:val="both"/>
        <w:rPr>
          <w:rFonts w:ascii="Calibri" w:hAnsi="Calibri" w:cs="Calibri" w:eastAsia="Calibri"/>
          <w:color w:val="000000"/>
          <w:spacing w:val="0"/>
          <w:position w:val="0"/>
          <w:sz w:val="20"/>
          <w:shd w:fill="auto" w:val="clear"/>
        </w:rPr>
      </w:pPr>
      <w:r>
        <w:rPr>
          <w:rFonts w:ascii="Calibri" w:hAnsi="Calibri" w:cs="Calibri" w:eastAsia="Calibri"/>
          <w:color w:val="000000"/>
          <w:spacing w:val="0"/>
          <w:position w:val="0"/>
          <w:sz w:val="20"/>
          <w:shd w:fill="auto" w:val="clear"/>
        </w:rPr>
        <w:t xml:space="preserve">De acuerdo a los resultados entregados en los informes analizados, el efluente de la descarga de las instalaciones de la empresa ORIZON S.A. que descarga a la bahía de La Herradura, cumple con la tabla 5 de la Norma de Emisión D.S. N° 90/00.</w:t>
      </w:r>
    </w:p>
    <w:p>
      <w:pPr>
        <w:spacing w:before="0" w:after="0" w:line="240"/>
        <w:ind w:right="0" w:left="0" w:firstLine="0"/>
        <w:jc w:val="both"/>
        <w:rPr>
          <w:rFonts w:ascii="Calibri" w:hAnsi="Calibri" w:cs="Calibri" w:eastAsia="Calibri"/>
          <w:color w:val="000000"/>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000000"/>
          <w:spacing w:val="0"/>
          <w:position w:val="0"/>
          <w:sz w:val="22"/>
          <w:shd w:fill="auto" w:val="clear"/>
        </w:rPr>
        <w:br/>
        <w:br/>
        <w:t xml:space="preserve">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000000"/>
          <w:spacing w:val="0"/>
          <w:position w:val="0"/>
          <w:sz w:val="24"/>
          <w:shd w:fill="auto" w:val="clear"/>
        </w:rPr>
        <w:br/>
        <w:t xml:space="preserve">7.- ANEXOS Y REFERENCIAS</w:t>
      </w:r>
      <w:r>
        <w:rPr>
          <w:rFonts w:ascii="Calibri" w:hAnsi="Calibri" w:cs="Calibri" w:eastAsia="Calibri"/>
          <w:color w:val="auto"/>
          <w:spacing w:val="0"/>
          <w:position w:val="0"/>
          <w:sz w:val="22"/>
          <w:shd w:fill="auto" w:val="clear"/>
        </w:rPr>
        <w:br/>
        <w:t xml:space="preserve"> </w:t>
      </w:r>
    </w:p>
    <w:tbl>
      <w:tblPr>
        <w:tblInd w:w="108" w:type="dxa"/>
      </w:tblPr>
      <w:tblGrid>
        <w:gridCol w:w="879"/>
        <w:gridCol w:w="3935"/>
        <w:gridCol w:w="3906"/>
      </w:tblGrid>
      <w:tr>
        <w:trPr>
          <w:trHeight w:val="1" w:hRule="atLeast"/>
          <w:jc w:val="left"/>
        </w:trPr>
        <w:tc>
          <w:tcPr>
            <w:tcW w:w="879"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Número</w:t>
            </w:r>
          </w:p>
        </w:tc>
        <w:tc>
          <w:tcPr>
            <w:tcW w:w="3935"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Nombre Documento</w:t>
            </w:r>
          </w:p>
        </w:tc>
        <w:tc>
          <w:tcPr>
            <w:tcW w:w="3906" w:type="dxa"/>
            <w:tcBorders>
              <w:top w:val="single" w:color="000000" w:sz="4"/>
              <w:left w:val="single" w:color="000000" w:sz="4"/>
              <w:bottom w:val="single" w:color="000000" w:sz="4"/>
              <w:right w:val="single" w:color="000000" w:sz="4"/>
            </w:tcBorders>
            <w:shd w:color="auto" w:fill="d3d3d3"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b/>
                <w:color w:val="auto"/>
                <w:spacing w:val="0"/>
                <w:position w:val="0"/>
                <w:sz w:val="20"/>
                <w:shd w:fill="auto" w:val="clear"/>
              </w:rPr>
              <w:t xml:space="preserve">Tipo Documento</w:t>
            </w:r>
          </w:p>
        </w:tc>
      </w:tr>
      <w:tr>
        <w:trPr>
          <w:trHeight w:val="1" w:hRule="atLeast"/>
          <w:jc w:val="left"/>
        </w:trPr>
        <w:tc>
          <w:tcPr>
            <w:tcW w:w="87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1</w:t>
            </w:r>
          </w:p>
        </w:tc>
        <w:tc>
          <w:tcPr>
            <w:tcW w:w="3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ORD. N° 222 del 25/06/2019</w:t>
            </w:r>
          </w:p>
        </w:tc>
        <w:tc>
          <w:tcPr>
            <w:tcW w:w="39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Calibri Light" w:hAnsi="Calibri Light" w:cs="Calibri Light" w:eastAsia="Calibri Light"/>
                <w:color w:val="auto"/>
                <w:spacing w:val="0"/>
                <w:position w:val="0"/>
                <w:sz w:val="20"/>
                <w:shd w:fill="auto" w:val="clear"/>
              </w:rPr>
              <w:t xml:space="preserve">Ordinario de Encomendación de Seguimiento</w:t>
            </w:r>
          </w:p>
        </w:tc>
      </w:tr>
    </w:tbl>
    <w:p>
      <w:pPr>
        <w:spacing w:before="0" w:after="0" w:line="240"/>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